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18 vom 4. Oktober 2021</w:t>
      </w:r>
    </w:p>
    <w:p>
      <w:r>
        <w:t>GR Gerichte, 2021-10-04, DE</w:t>
      </w:r>
    </w:p>
    <w:p>
      <w:r>
        <w:rPr>
          <w:b/>
        </w:rPr>
        <w:t xml:space="preserve">Quelle: </w:t>
      </w:r>
      <w:r>
        <w:t>https://mcp.opencaselaw.ch/entscheid/gr_gerichte_ZK2 2011 18</w:t>
      </w:r>
    </w:p>
    <w:p>
      <w:r>
        <w:t>FR: GR_GERICHTE ZK2 2011 18 du 4 octobre 2021</w:t>
      </w:r>
    </w:p>
    <w:p>
      <w:r>
        <w:t>IT: GR_GERICHTE ZK2 2011 18 del 4 ottobre 2021</w:t>
      </w:r>
    </w:p>
    <w:p>
      <w:pPr>
        <w:pStyle w:val="Heading2"/>
      </w:pPr>
      <w:r>
        <w:t>Regeste</w:t>
      </w:r>
    </w:p>
    <w:p>
      <w:r>
        <w:t>Forderung | Berufung OR AG/andere Handelsgesellschaft/Genossenschaft</w:t>
      </w:r>
    </w:p>
    <w:p>
      <w:pPr>
        <w:pStyle w:val="Heading2"/>
      </w:pPr>
      <w:r>
        <w:t>Erwägungen</w:t>
      </w:r>
    </w:p>
    <w:p>
      <w:r>
        <w:rPr>
          <w:b/>
        </w:rPr>
        <w:t>E. 1</w:t>
      </w:r>
    </w:p>
    <w:p>
      <w:r>
        <w:t>Vereinigung Die beiden Verfahren ZK2 11 18 und ZK2 11 19 richten sich gegen das nämliche erstinstanzliche Urteil. Sie sind zu vereinigen (Art. 125 ZPO).</w:t>
      </w:r>
    </w:p>
    <w:p>
      <w:r>
        <w:rPr>
          <w:b/>
        </w:rPr>
        <w:t>E. 2</w:t>
      </w:r>
    </w:p>
    <w:p>
      <w:r>
        <w:t>Formelles der Berufung Die Rechtsmittel gegen das zwar unter dem alten kantonalen Prozessrecht gefäll- te, aber erst nach Inkrafttreten der schweizerischen Zivilprozessordnung mitgeteil- te ("eröffnete") Urteil unterstehen den Regeln der letzteren (Art. 405 Abs. 1 ZPO). Der für eine Berufung erforderliche Streitwert (Art. 308 Abs. 2 ZPO) ist erreicht. Die Sache wäre spruchreif.</w:t>
      </w:r>
    </w:p>
    <w:p>
      <w:r>
        <w:rPr>
          <w:b/>
        </w:rPr>
        <w:t>E. 3</w:t>
      </w:r>
    </w:p>
    <w:p>
      <w:r>
        <w:t>Parteifähigkeit</w:t>
      </w:r>
    </w:p>
    <w:p>
      <w:r>
        <w:rPr>
          <w:b/>
        </w:rPr>
        <w:t>E. 5</w:t>
      </w:r>
    </w:p>
    <w:p>
      <w:r>
        <w:t>/ 8 Bei der Bearbeitung der Sachen stellte sich heraus, dass die Beklagte im Handels- register gelöscht worden war. Da das Gericht die Partei- und Prozessfähigkeit als Prozessvoraussetzungen von Amtes wegen prüft (Art. 59 Abs. 2 lit. c und Art. 60 ZPO), wurden die dazu erforderlichen Unterlagen vom Handelsregister des Kan- tons beigezogen. Den Beteiligten wurde Gelegenheit gegeben, sich zur Erledigung der Verfahren und zu den Kostenfolgen zu äussern (Verfügung vom 26. August 2021). Es gingen keine Stellungnahmen ein. Nur rechtlich existierende Personen können Partei eines Prozesses sein. Für oder gegen eine verstorbene Person kann kein Verfahren geführt werden, und stirbt eine natürliche Person im Laufe eines Verfahrens, treten die Erben an ihre Stelle (Art. 602 ZGB) - wenn die Sache nicht wie zum Beispiel die Ehescheidung, höchstpersönlich ist: dann wird das Verfahren gegenstandslos. Wird eine juristi- sche Person im Handelsregister gelöscht, verliert sie ihre rechtliche Existenz, und das Verfahren wird wie bei der Ehescheidung gegenstandslos (Art. 242 ZPO; Bot- schaft ZPO 7345; KGer GR ZK2 13 24 v. 29.6.2016; ZR 103/2004 Nr. 51; Laurent Killias, Berner Kommentar zur Schweizerischen Zivilprozessordnung, Band II, Bern 2012, N. 7 zu Art. 242 ZPO). Differenziertes gilt für Gebilde, die keine juristischen Personen sind, aber dennoch unter ihrem Namen oder unter ihrer Firma Rechte erwerben, Pflichten haben und daher auch Partei im Prozess sein können, wie die Kollektivgesellschaft (Art. 562 ff. OR) oder die Gemeinschaft der Stockwerkeigentümer (Art. 712a ff. ZGB). Beim Stockwerkeigentum, das nur durch Eintrag im Grundbuch entstehen kann (Art. 712d ZGB), geht das rechtliche Gebilde im Normalfall unter durch Löschung im Grundbuch (Art. 712f ZGB). Die Kollektivgesellschaft bedarf zu ihrer Entstehung des Eintrages im Handelsregister nur dann, wenn sie kein nach kaufmännischer Art geführtes Gewerbe betreibt (Art. 553 OR) – als Konsequenz geht sie mit der Löschung im Handelsregister unter. Die kaufmännische Kollektivgesellschaft ent- steht demgegenüber schon vor dem Handelsregistereintrag, der zwar vorge- schrieben, aber deklaratorisch ist: nämlich sobald sich zwei oder mehr natürliche Personen zum Zweck vereinigen, unter einer gemeinsamen Firma ein Gewerbe zu betreiben (Art. 552 OR). Umgekehrt ist auch die Löschung im Handelsregister für das Ende der Gesellschaft nicht notwendig, sondern es genügt, dass die Gesell-</w:t>
      </w:r>
    </w:p>
    <w:p>
      <w:r>
        <w:rPr>
          <w:b/>
        </w:rPr>
        <w:t>E. 6</w:t>
      </w:r>
    </w:p>
    <w:p>
      <w:r>
        <w:t>/ 8 schafter ihr Gewerbe dauerhaft aufgeben und - wenigstens grundsätzlich - dass sie die Gesellschaft liquidieren. Nach Beendigung der Liquidation haben die Ge- sellschafter die Firma im Handelsregister löschen zu lassen (Art. 589 OR). Im vorliegenden Fall erklärten die beiden Gesellschafter der H._____ Kollektivge- sellschaft gegenüber dem Handelsregister, die Gesellschaft sei liquidiert, und sie ersuchten um Löschung der Firma (Korrespondenz-act. 19, dritte Seite des An- hanges). Damit stand und steht fest, dass sie auf Dauer unter dieser Firma keine Geschäfte mehr betreiben wollen. Das führt(e) zum Untergang der Gesellschaft. Als Konsequenz kann kein Prozess mehr für oder gegen diese geführt werden, und die beiden hängigen Berufungen sind als gegenstandslos geworden abzu- schreiben. Auf den ersten Blick scheint das ein für die Klägerin stossendes Ergebnis. Aller- dings ist die ohnehin bestehende solidarische Haftung der Gesellschaft (Art. 568 Abs. 1 OR) mit deren Liquidation direkt durchsetzbar geworden (Art. 568 Abs. 3 OR). Der Klägerin entsteht durch das Abschreiben der beiden Berufungsverfahren daher kein erheblicher Nachteil: die vom Bezirksgericht gefundene Verpflichtung der Gesellschaft und deren Gesellschafter steht fest und ist vollstreckbar, und ein Mehreres kann die Klägerin von den (ehemaligen) Gesellschaftern direkt einfor- dern (dazu insbesondere auch Art. 591 Abs. 1 OR) 4. Kostenfolgen Die Gebühr für die beiden Berufungsverfahren ist im Rahmen der Art. 9 und 12 der Verordnung über die Gerichtsgebühren in Zivilsachen festzulegen. Angesichts der Besonderheiten des Verfahrens ist es angezeigt, die Gebühr für beide Verfah- ren zusammen auf minimale CHF 500.00 anzusetzen. In der Regel werden die Kosten nach Obsiegen und Unterliegen verlegt (Art. 106 ZPO). Bei einer Erledigung wegen Gegenstandslosigkeit lässt sich das oft – und so auch hier - nicht zuverlässig eruieren. Daher kann das Gericht die Kosten in diesem Fall nach Ermessen verlegen (Art. 107 Abs. 1 lit. e ZPO). In Frage kommt namentlich, ob jemand die Gegenstandslosigkeit verursacht. Das sind in diesem</w:t>
      </w:r>
    </w:p>
    <w:p>
      <w:r>
        <w:rPr>
          <w:b/>
        </w:rPr>
        <w:t>E. 7</w:t>
      </w:r>
    </w:p>
    <w:p>
      <w:r>
        <w:t>/ 8 Fall die ehemaligen Gesellschafter der Beklagten. Indem sie die Gesellschaft trotz der laufenden Verfahren liquidierten, führten sie deren Gegenstandslosigkeit aktiv herbei. Sie unterliefen damit die Prüfung der Berufungsanträge durch das Kan- tonsgericht. Damit wurden auch die Aufwendungen beider Seiten für die Vorträge in den Berufungen unnötig im Sinne von Art. 108 ZPO. Es sind darum die Verfah- renskosten G._____ und C._____ aufzuerlegen, nach aussen unter solidarischer Haftung, intern zu gleichen Teilen (Art. 106 Abs. 3 ZPO). Die Klägerin hat die Rechnung für die Aufwendungen ihres Anwaltes vorgelegt. Die Rechnung beläuft sich auf CHF 11'160.05, hält sich an die Bestimmungen der Honorarverordnung, und die Beklagte hat sie nicht beanstandet. Sie enthält einen Mehrwertsteuerzuschlag von 8%, was richtig ist: dieser Satz galt zur Zeit, als die Leistungen erbracht wurden.</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